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color w:val="1C2E4A"/>
          <w:sz w:val="32"/>
          <w:szCs w:val="32"/>
        </w:rPr>
        <w:t xml:space="preserve">Rehab</w:t>
      </w:r>
      <w:r>
        <w:rPr>
          <w:b/>
          <w:color w:val="D9480F"/>
          <w:sz w:val="32"/>
          <w:szCs w:val="32"/>
        </w:rPr>
        <w:t xml:space="preserve">Rocket</w:t>
      </w:r>
    </w:p>
    <w:p>
      <w:pPr>
        <w:spacing w:after="100"/>
      </w:pPr>
      <w:r>
        <w:rPr>
          <w:b/>
          <w:color w:val="1C2E4A"/>
          <w:sz w:val="28"/>
          <w:szCs w:val="28"/>
        </w:rPr>
        <w:t xml:space="preserve">Scope of Work — Request for Bid</w:t>
      </w:r>
    </w:p>
    <w:p>
      <w:pPr>
        <w:spacing w:after="120"/>
      </w:pPr>
      <w:r>
        <w:rPr>
          <w:color w:val="5C6670"/>
          <w:sz w:val="19"/>
          <w:szCs w:val="19"/>
        </w:rPr>
        <w:t xml:space="preserve">One property, one scope, sent to every contractor before they price it. Fill in the project details, mark what is in scope, and note who supplies the materials. The bids that come back will line up because everyone answered the same question.</w:t>
      </w:r>
    </w:p>
    <w:p>
      <w:pPr>
        <w:spacing w:after="120"/>
      </w:pPr>
    </w:p>
    <w:tbl>
      <w:tblPr>
        <w:tblW w:w="9360" w:type="dxa"/>
        <w:tblBorders>
          <w:top w:val="single" w:sz="4" w:space="0" w:color="D6D0C7"/>
          <w:left w:val="single" w:sz="4" w:space="0" w:color="D6D0C7"/>
          <w:bottom w:val="single" w:sz="4" w:space="0" w:color="D6D0C7"/>
          <w:right w:val="single" w:sz="4" w:space="0" w:color="D6D0C7"/>
          <w:insideH w:val="single" w:sz="4" w:space="0" w:color="D6D0C7"/>
          <w:insideV w:val="single" w:sz="4" w:space="0" w:color="D6D0C7"/>
        </w:tblBorders>
      </w:tblPr>
      <w:tblGrid>
        <w:gridCol w:w="2400"/>
        <w:gridCol w:w="6960"/>
      </w:tblGrid>
      <w:tr>
        <w:tc>
          <w:tcPr>
            <w:tcW w:w="2400" w:type="dxa"/>
          </w:tcPr>
          <w:p>
            <w:pPr>
              <w:spacing w:after="0"/>
            </w:pPr>
            <w:r>
              <w:rPr>
                <w:b/>
                <w:color w:val="1C2E4A"/>
                <w:sz w:val="18"/>
                <w:szCs w:val="18"/>
              </w:rPr>
              <w:t xml:space="preserve">Project details</w:t>
            </w:r>
          </w:p>
        </w:tc>
        <w:tc>
          <w:tcPr>
            <w:tcW w:w="6960" w:type="dxa"/>
          </w:tcPr>
          <w:p>
            <w:pPr>
              <w:spacing w:after="0"/>
            </w:pPr>
            <w:r>
              <w:rPr>
                <w:b/>
                <w:color w:val="1C2E4A"/>
                <w:sz w:val="18"/>
                <w:szCs w:val="18"/>
              </w:rPr>
              <w:t xml:space="preserve"/>
            </w:r>
          </w:p>
        </w:tc>
      </w:tr>
      <w:tr>
        <w:tc>
          <w:tcPr>
            <w:tcW w:w="2400" w:type="dxa"/>
          </w:tcPr>
          <w:p>
            <w:pPr>
              <w:spacing w:after="0"/>
            </w:pPr>
            <w:r>
              <w:rPr>
                <w:sz w:val="18"/>
                <w:szCs w:val="18"/>
              </w:rPr>
              <w:t xml:space="preserve">Property address</w:t>
            </w:r>
          </w:p>
        </w:tc>
        <w:tc>
          <w:tcPr>
            <w:tcW w:w="6960" w:type="dxa"/>
          </w:tcPr>
          <w:p>
            <w:pPr>
              <w:spacing w:after="0"/>
            </w:pPr>
            <w:r>
              <w:rPr>
                <w:sz w:val="18"/>
                <w:szCs w:val="18"/>
              </w:rPr>
              <w:t xml:space="preserve"/>
            </w:r>
          </w:p>
        </w:tc>
      </w:tr>
      <w:tr>
        <w:tc>
          <w:tcPr>
            <w:tcW w:w="2400" w:type="dxa"/>
          </w:tcPr>
          <w:p>
            <w:pPr>
              <w:spacing w:after="0"/>
            </w:pPr>
            <w:r>
              <w:rPr>
                <w:sz w:val="18"/>
                <w:szCs w:val="18"/>
              </w:rPr>
              <w:t xml:space="preserve">Owner / contact</w:t>
            </w:r>
          </w:p>
        </w:tc>
        <w:tc>
          <w:tcPr>
            <w:tcW w:w="6960" w:type="dxa"/>
          </w:tcPr>
          <w:p>
            <w:pPr>
              <w:spacing w:after="0"/>
            </w:pPr>
            <w:r>
              <w:rPr>
                <w:sz w:val="18"/>
                <w:szCs w:val="18"/>
              </w:rPr>
              <w:t xml:space="preserve"/>
            </w:r>
          </w:p>
        </w:tc>
      </w:tr>
      <w:tr>
        <w:tc>
          <w:tcPr>
            <w:tcW w:w="2400" w:type="dxa"/>
          </w:tcPr>
          <w:p>
            <w:pPr>
              <w:spacing w:after="0"/>
            </w:pPr>
            <w:r>
              <w:rPr>
                <w:sz w:val="18"/>
                <w:szCs w:val="18"/>
              </w:rPr>
              <w:t xml:space="preserve">Date sent / bids due by</w:t>
            </w:r>
          </w:p>
        </w:tc>
        <w:tc>
          <w:tcPr>
            <w:tcW w:w="6960" w:type="dxa"/>
          </w:tcPr>
          <w:p>
            <w:pPr>
              <w:spacing w:after="0"/>
            </w:pPr>
            <w:r>
              <w:rPr>
                <w:sz w:val="18"/>
                <w:szCs w:val="18"/>
              </w:rPr>
              <w:t xml:space="preserve"/>
            </w:r>
          </w:p>
        </w:tc>
      </w:tr>
      <w:tr>
        <w:tc>
          <w:tcPr>
            <w:tcW w:w="2400" w:type="dxa"/>
          </w:tcPr>
          <w:p>
            <w:pPr>
              <w:spacing w:after="0"/>
            </w:pPr>
            <w:r>
              <w:rPr>
                <w:sz w:val="18"/>
                <w:szCs w:val="18"/>
              </w:rPr>
              <w:t xml:space="preserve">Site visit (date / window)</w:t>
            </w:r>
          </w:p>
        </w:tc>
        <w:tc>
          <w:tcPr>
            <w:tcW w:w="6960" w:type="dxa"/>
          </w:tcPr>
          <w:p>
            <w:pPr>
              <w:spacing w:after="0"/>
            </w:pPr>
            <w:r>
              <w:rPr>
                <w:sz w:val="18"/>
                <w:szCs w:val="18"/>
              </w:rPr>
              <w:t xml:space="preserve"/>
            </w:r>
          </w:p>
        </w:tc>
      </w:tr>
    </w:tbl>
    <w:p>
      <w:pPr>
        <w:spacing w:after="120"/>
      </w:pPr>
    </w:p>
    <w:p>
      <w:pPr>
        <w:spacing w:after="80"/>
      </w:pPr>
      <w:r>
        <w:rPr>
          <w:b/>
          <w:color w:val="1C2E4A"/>
          <w:sz w:val="22"/>
          <w:szCs w:val="22"/>
        </w:rPr>
        <w:t xml:space="preserve">A note to the contractor</w:t>
      </w:r>
    </w:p>
    <w:p>
      <w:pPr>
        <w:spacing w:after="120"/>
      </w:pPr>
      <w:r>
        <w:rPr>
          <w:sz w:val="19"/>
          <w:szCs w:val="19"/>
        </w:rPr>
        <w:t xml:space="preserve">You are one of a few contractors pricing this job. To keep the bids comparable, please price the scope below line by line, mark who supplies the materials, and price the three items in the separate block on their own lines. Where the scope is silent, write your assumption rather than leaving it out — an assumption on paper is worth more to both of us than a surprise later. Questions before you price are welcome; sending this ahead is what makes them possible.</w:t>
      </w:r>
    </w:p>
    <w:p>
      <w:pPr>
        <w:spacing w:after="120"/>
      </w:pPr>
    </w:p>
    <w:p>
      <w:pPr>
        <w:spacing w:after="80"/>
      </w:pPr>
      <w:r>
        <w:rPr>
          <w:b/>
          <w:color w:val="1C2E4A"/>
          <w:sz w:val="22"/>
          <w:szCs w:val="22"/>
        </w:rPr>
        <w:t xml:space="preserve">Trade-by-trade scope — fourteen categories</w:t>
      </w:r>
    </w:p>
    <w:tbl>
      <w:tblPr>
        <w:tblW w:w="9360" w:type="dxa"/>
        <w:tblBorders>
          <w:top w:val="single" w:sz="4" w:space="0" w:color="D6D0C7"/>
          <w:left w:val="single" w:sz="4" w:space="0" w:color="D6D0C7"/>
          <w:bottom w:val="single" w:sz="4" w:space="0" w:color="D6D0C7"/>
          <w:right w:val="single" w:sz="4" w:space="0" w:color="D6D0C7"/>
          <w:insideH w:val="single" w:sz="4" w:space="0" w:color="D6D0C7"/>
          <w:insideV w:val="single" w:sz="4" w:space="0" w:color="D6D0C7"/>
        </w:tblBorders>
      </w:tblPr>
      <w:tblGrid>
        <w:gridCol w:w="2200"/>
        <w:gridCol w:w="1000"/>
        <w:gridCol w:w="2400"/>
        <w:gridCol w:w="1400"/>
        <w:gridCol w:w="2360"/>
      </w:tblGrid>
      <w:tr>
        <w:tc>
          <w:tcPr>
            <w:tcW w:w="2200" w:type="dxa"/>
          </w:tcPr>
          <w:p>
            <w:pPr>
              <w:spacing w:after="0"/>
            </w:pPr>
            <w:r>
              <w:rPr>
                <w:b/>
                <w:color w:val="1C2E4A"/>
                <w:sz w:val="18"/>
                <w:szCs w:val="18"/>
              </w:rPr>
              <w:t xml:space="preserve">Category</w:t>
            </w:r>
          </w:p>
        </w:tc>
        <w:tc>
          <w:tcPr>
            <w:tcW w:w="1000" w:type="dxa"/>
          </w:tcPr>
          <w:p>
            <w:pPr>
              <w:spacing w:after="0"/>
            </w:pPr>
            <w:r>
              <w:rPr>
                <w:b/>
                <w:color w:val="1C2E4A"/>
                <w:sz w:val="18"/>
                <w:szCs w:val="18"/>
              </w:rPr>
              <w:t xml:space="preserve">In scope?</w:t>
            </w:r>
          </w:p>
        </w:tc>
        <w:tc>
          <w:tcPr>
            <w:tcW w:w="2400" w:type="dxa"/>
          </w:tcPr>
          <w:p>
            <w:pPr>
              <w:spacing w:after="0"/>
            </w:pPr>
            <w:r>
              <w:rPr>
                <w:b/>
                <w:color w:val="1C2E4A"/>
                <w:sz w:val="18"/>
                <w:szCs w:val="18"/>
              </w:rPr>
              <w:t xml:space="preserve">Materials — who supplies</w:t>
            </w:r>
          </w:p>
        </w:tc>
        <w:tc>
          <w:tcPr>
            <w:tcW w:w="1400" w:type="dxa"/>
          </w:tcPr>
          <w:p>
            <w:pPr>
              <w:spacing w:after="0"/>
            </w:pPr>
            <w:r>
              <w:rPr>
                <w:b/>
                <w:color w:val="1C2E4A"/>
                <w:sz w:val="18"/>
                <w:szCs w:val="18"/>
              </w:rPr>
              <w:t xml:space="preserve">Price</w:t>
            </w:r>
          </w:p>
        </w:tc>
        <w:tc>
          <w:tcPr>
            <w:tcW w:w="2360" w:type="dxa"/>
          </w:tcPr>
          <w:p>
            <w:pPr>
              <w:spacing w:after="0"/>
            </w:pPr>
            <w:r>
              <w:rPr>
                <w:b/>
                <w:color w:val="1C2E4A"/>
                <w:sz w:val="18"/>
                <w:szCs w:val="18"/>
              </w:rPr>
              <w:t xml:space="preserve">Notes / what is excluded</w:t>
            </w:r>
          </w:p>
        </w:tc>
      </w:tr>
      <w:tr>
        <w:tc>
          <w:tcPr>
            <w:tcW w:w="2200" w:type="dxa"/>
          </w:tcPr>
          <w:p>
            <w:pPr>
              <w:spacing w:after="0"/>
            </w:pPr>
            <w:r>
              <w:rPr>
                <w:sz w:val="18"/>
                <w:szCs w:val="18"/>
              </w:rPr>
              <w:t xml:space="preserve">Demolition</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Roofing</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Windows &amp; exterior doors</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Plumbing</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Electrical</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HVAC</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Insulation</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Drywall</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Paint — interior</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Interior trim &amp; doors</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Flooring</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Tile</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Cabinets &amp; countertops</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r>
        <w:tc>
          <w:tcPr>
            <w:tcW w:w="2200" w:type="dxa"/>
          </w:tcPr>
          <w:p>
            <w:pPr>
              <w:spacing w:after="0"/>
            </w:pPr>
            <w:r>
              <w:rPr>
                <w:sz w:val="18"/>
                <w:szCs w:val="18"/>
              </w:rPr>
              <w:t xml:space="preserve">Fixtures &amp; appliances</w:t>
            </w:r>
          </w:p>
        </w:tc>
        <w:tc>
          <w:tcPr>
            <w:tcW w:w="1000" w:type="dxa"/>
          </w:tcPr>
          <w:p>
            <w:pPr>
              <w:spacing w:after="0"/>
            </w:pPr>
            <w:r>
              <w:rPr>
                <w:sz w:val="18"/>
                <w:szCs w:val="18"/>
              </w:rPr>
              <w:t xml:space="preserve">Y / N</w:t>
            </w:r>
          </w:p>
        </w:tc>
        <w:tc>
          <w:tcPr>
            <w:tcW w:w="2400" w:type="dxa"/>
          </w:tcPr>
          <w:p>
            <w:pPr>
              <w:spacing w:after="0"/>
            </w:pPr>
            <w:r>
              <w:rPr>
                <w:sz w:val="18"/>
                <w:szCs w:val="18"/>
              </w:rPr>
              <w:t xml:space="preserve">Owner / Contractor</w:t>
            </w:r>
          </w:p>
        </w:tc>
        <w:tc>
          <w:tcPr>
            <w:tcW w:w="1400" w:type="dxa"/>
          </w:tcPr>
          <w:p>
            <w:pPr>
              <w:spacing w:after="0"/>
            </w:pPr>
            <w:r>
              <w:rPr>
                <w:sz w:val="18"/>
                <w:szCs w:val="18"/>
              </w:rPr>
              <w:t xml:space="preserve">$</w:t>
            </w:r>
          </w:p>
        </w:tc>
        <w:tc>
          <w:tcPr>
            <w:tcW w:w="2360" w:type="dxa"/>
          </w:tcPr>
          <w:p>
            <w:pPr>
              <w:spacing w:after="0"/>
            </w:pPr>
            <w:r>
              <w:rPr>
                <w:sz w:val="18"/>
                <w:szCs w:val="18"/>
              </w:rPr>
              <w:t xml:space="preserve"/>
            </w:r>
          </w:p>
        </w:tc>
      </w:tr>
    </w:tbl>
    <w:p>
      <w:pPr>
        <w:spacing w:after="120"/>
      </w:pPr>
    </w:p>
    <w:p>
      <w:pPr>
        <w:spacing w:after="80"/>
      </w:pPr>
      <w:r>
        <w:rPr>
          <w:b/>
          <w:color w:val="1C2E4A"/>
          <w:sz w:val="22"/>
          <w:szCs w:val="22"/>
        </w:rPr>
        <w:t xml:space="preserve">Please price these separately</w:t>
      </w:r>
    </w:p>
    <w:p>
      <w:pPr>
        <w:spacing w:after="120"/>
      </w:pPr>
      <w:r>
        <w:rPr>
          <w:color w:val="5C6670"/>
          <w:sz w:val="19"/>
          <w:szCs w:val="19"/>
        </w:rPr>
        <w:t xml:space="preserve">These three are where residential bids most often go silent. Pricing them on their own lines keeps them from hiding inside a trade number.</w:t>
      </w:r>
    </w:p>
    <w:tbl>
      <w:tblPr>
        <w:tblW w:w="9360" w:type="dxa"/>
        <w:tblBorders>
          <w:top w:val="single" w:sz="4" w:space="0" w:color="D6D0C7"/>
          <w:left w:val="single" w:sz="4" w:space="0" w:color="D6D0C7"/>
          <w:bottom w:val="single" w:sz="4" w:space="0" w:color="D6D0C7"/>
          <w:right w:val="single" w:sz="4" w:space="0" w:color="D6D0C7"/>
          <w:insideH w:val="single" w:sz="4" w:space="0" w:color="D6D0C7"/>
          <w:insideV w:val="single" w:sz="4" w:space="0" w:color="D6D0C7"/>
        </w:tblBorders>
      </w:tblPr>
      <w:tblGrid>
        <w:gridCol w:w="2400"/>
        <w:gridCol w:w="5160"/>
        <w:gridCol w:w="1800"/>
      </w:tblGrid>
      <w:tr>
        <w:tc>
          <w:tcPr>
            <w:tcW w:w="2400" w:type="dxa"/>
          </w:tcPr>
          <w:p>
            <w:pPr>
              <w:spacing w:after="0"/>
            </w:pPr>
            <w:r>
              <w:rPr>
                <w:b/>
                <w:color w:val="1C2E4A"/>
                <w:sz w:val="18"/>
                <w:szCs w:val="18"/>
              </w:rPr>
              <w:t xml:space="preserve">Item</w:t>
            </w:r>
          </w:p>
        </w:tc>
        <w:tc>
          <w:tcPr>
            <w:tcW w:w="5160" w:type="dxa"/>
          </w:tcPr>
          <w:p>
            <w:pPr>
              <w:spacing w:after="0"/>
            </w:pPr>
            <w:r>
              <w:rPr>
                <w:b/>
                <w:color w:val="1C2E4A"/>
                <w:sz w:val="18"/>
                <w:szCs w:val="18"/>
              </w:rPr>
              <w:t xml:space="preserve">What it should cover</w:t>
            </w:r>
          </w:p>
        </w:tc>
        <w:tc>
          <w:tcPr>
            <w:tcW w:w="1800" w:type="dxa"/>
          </w:tcPr>
          <w:p>
            <w:pPr>
              <w:spacing w:after="0"/>
            </w:pPr>
            <w:r>
              <w:rPr>
                <w:b/>
                <w:color w:val="1C2E4A"/>
                <w:sz w:val="18"/>
                <w:szCs w:val="18"/>
              </w:rPr>
              <w:t xml:space="preserve">Price</w:t>
            </w:r>
          </w:p>
        </w:tc>
      </w:tr>
      <w:tr>
        <w:tc>
          <w:tcPr>
            <w:tcW w:w="2400" w:type="dxa"/>
          </w:tcPr>
          <w:p>
            <w:pPr>
              <w:spacing w:after="0"/>
            </w:pPr>
            <w:r>
              <w:rPr>
                <w:sz w:val="18"/>
                <w:szCs w:val="18"/>
              </w:rPr>
              <w:t xml:space="preserve">Permits &amp; fees</w:t>
            </w:r>
          </w:p>
        </w:tc>
        <w:tc>
          <w:tcPr>
            <w:tcW w:w="5160" w:type="dxa"/>
          </w:tcPr>
          <w:p>
            <w:pPr>
              <w:spacing w:after="0"/>
            </w:pPr>
            <w:r>
              <w:rPr>
                <w:sz w:val="18"/>
                <w:szCs w:val="18"/>
              </w:rPr>
              <w:t xml:space="preserve">Applications, plan review, and inspection fees for every trade the work touches. Silence here is the single most common gap in a residential bid.</w:t>
            </w:r>
          </w:p>
        </w:tc>
        <w:tc>
          <w:tcPr>
            <w:tcW w:w="1800" w:type="dxa"/>
          </w:tcPr>
          <w:p>
            <w:pPr>
              <w:spacing w:after="0"/>
            </w:pPr>
            <w:r>
              <w:rPr>
                <w:sz w:val="18"/>
                <w:szCs w:val="18"/>
              </w:rPr>
              <w:t xml:space="preserve">$</w:t>
            </w:r>
          </w:p>
        </w:tc>
      </w:tr>
      <w:tr>
        <w:tc>
          <w:tcPr>
            <w:tcW w:w="2400" w:type="dxa"/>
          </w:tcPr>
          <w:p>
            <w:pPr>
              <w:spacing w:after="0"/>
            </w:pPr>
            <w:r>
              <w:rPr>
                <w:sz w:val="18"/>
                <w:szCs w:val="18"/>
              </w:rPr>
              <w:t xml:space="preserve">Dumpster &amp; haul-away</w:t>
            </w:r>
          </w:p>
        </w:tc>
        <w:tc>
          <w:tcPr>
            <w:tcW w:w="5160" w:type="dxa"/>
          </w:tcPr>
          <w:p>
            <w:pPr>
              <w:spacing w:after="0"/>
            </w:pPr>
            <w:r>
              <w:rPr>
                <w:sz w:val="18"/>
                <w:szCs w:val="18"/>
              </w:rPr>
              <w:t xml:space="preserve">Container delivery, swaps, disposal, and tipping fees. Note how many containers are assumed.</w:t>
            </w:r>
          </w:p>
        </w:tc>
        <w:tc>
          <w:tcPr>
            <w:tcW w:w="1800" w:type="dxa"/>
          </w:tcPr>
          <w:p>
            <w:pPr>
              <w:spacing w:after="0"/>
            </w:pPr>
            <w:r>
              <w:rPr>
                <w:sz w:val="18"/>
                <w:szCs w:val="18"/>
              </w:rPr>
              <w:t xml:space="preserve">$</w:t>
            </w:r>
          </w:p>
        </w:tc>
      </w:tr>
      <w:tr>
        <w:tc>
          <w:tcPr>
            <w:tcW w:w="2400" w:type="dxa"/>
          </w:tcPr>
          <w:p>
            <w:pPr>
              <w:spacing w:after="0"/>
            </w:pPr>
            <w:r>
              <w:rPr>
                <w:sz w:val="18"/>
                <w:szCs w:val="18"/>
              </w:rPr>
              <w:t xml:space="preserve">General conditions / supervision</w:t>
            </w:r>
          </w:p>
        </w:tc>
        <w:tc>
          <w:tcPr>
            <w:tcW w:w="5160" w:type="dxa"/>
          </w:tcPr>
          <w:p>
            <w:pPr>
              <w:spacing w:after="0"/>
            </w:pPr>
            <w:r>
              <w:rPr>
                <w:sz w:val="18"/>
                <w:szCs w:val="18"/>
              </w:rPr>
              <w:t xml:space="preserve">Site management, temporary protection, weekly clean-up, and mobilisation — the line that quietly folds into trade prices or gets billed later.</w:t>
            </w:r>
          </w:p>
        </w:tc>
        <w:tc>
          <w:tcPr>
            <w:tcW w:w="1800" w:type="dxa"/>
          </w:tcPr>
          <w:p>
            <w:pPr>
              <w:spacing w:after="0"/>
            </w:pPr>
            <w:r>
              <w:rPr>
                <w:sz w:val="18"/>
                <w:szCs w:val="18"/>
              </w:rPr>
              <w:t xml:space="preserve">$</w:t>
            </w:r>
          </w:p>
        </w:tc>
      </w:tr>
    </w:tbl>
    <w:p>
      <w:pPr>
        <w:spacing w:after="120"/>
      </w:pPr>
    </w:p>
    <w:p>
      <w:pPr>
        <w:spacing w:after="80"/>
      </w:pPr>
      <w:r>
        <w:rPr>
          <w:b/>
          <w:color w:val="1C2E4A"/>
          <w:sz w:val="22"/>
          <w:szCs w:val="22"/>
        </w:rPr>
        <w:t xml:space="preserve">Selections worksheet — anything already chosen</w:t>
      </w:r>
    </w:p>
    <w:p>
      <w:pPr>
        <w:spacing w:after="120"/>
      </w:pPr>
      <w:r>
        <w:rPr>
          <w:color w:val="5C6670"/>
          <w:sz w:val="19"/>
          <w:szCs w:val="19"/>
        </w:rPr>
        <w:t xml:space="preserve">Anything listed here is decided. Price the actual item, not an allowance — an allowance on a chosen item is just a number to overrun.</w:t>
      </w:r>
    </w:p>
    <w:tbl>
      <w:tblPr>
        <w:tblW w:w="9360" w:type="dxa"/>
        <w:tblBorders>
          <w:top w:val="single" w:sz="4" w:space="0" w:color="D6D0C7"/>
          <w:left w:val="single" w:sz="4" w:space="0" w:color="D6D0C7"/>
          <w:bottom w:val="single" w:sz="4" w:space="0" w:color="D6D0C7"/>
          <w:right w:val="single" w:sz="4" w:space="0" w:color="D6D0C7"/>
          <w:insideH w:val="single" w:sz="4" w:space="0" w:color="D6D0C7"/>
          <w:insideV w:val="single" w:sz="4" w:space="0" w:color="D6D0C7"/>
        </w:tblBorders>
      </w:tblPr>
      <w:tblGrid>
        <w:gridCol w:w="1900"/>
        <w:gridCol w:w="2600"/>
        <w:gridCol w:w="1800"/>
        <w:gridCol w:w="1600"/>
        <w:gridCol w:w="1460"/>
      </w:tblGrid>
      <w:tr>
        <w:tc>
          <w:tcPr>
            <w:tcW w:w="1900" w:type="dxa"/>
          </w:tcPr>
          <w:p>
            <w:pPr>
              <w:spacing w:after="0"/>
            </w:pPr>
            <w:r>
              <w:rPr>
                <w:b/>
                <w:color w:val="1C2E4A"/>
                <w:sz w:val="18"/>
                <w:szCs w:val="18"/>
              </w:rPr>
              <w:t xml:space="preserve">Item</w:t>
            </w:r>
          </w:p>
        </w:tc>
        <w:tc>
          <w:tcPr>
            <w:tcW w:w="2600" w:type="dxa"/>
          </w:tcPr>
          <w:p>
            <w:pPr>
              <w:spacing w:after="0"/>
            </w:pPr>
            <w:r>
              <w:rPr>
                <w:b/>
                <w:color w:val="1C2E4A"/>
                <w:sz w:val="18"/>
                <w:szCs w:val="18"/>
              </w:rPr>
              <w:t xml:space="preserve">Make / model or SKU</w:t>
            </w:r>
          </w:p>
        </w:tc>
        <w:tc>
          <w:tcPr>
            <w:tcW w:w="1800" w:type="dxa"/>
          </w:tcPr>
          <w:p>
            <w:pPr>
              <w:spacing w:after="0"/>
            </w:pPr>
            <w:r>
              <w:rPr>
                <w:b/>
                <w:color w:val="1C2E4A"/>
                <w:sz w:val="18"/>
                <w:szCs w:val="18"/>
              </w:rPr>
              <w:t xml:space="preserve">Supplier</w:t>
            </w:r>
          </w:p>
        </w:tc>
        <w:tc>
          <w:tcPr>
            <w:tcW w:w="1600" w:type="dxa"/>
          </w:tcPr>
          <w:p>
            <w:pPr>
              <w:spacing w:after="0"/>
            </w:pPr>
            <w:r>
              <w:rPr>
                <w:b/>
                <w:color w:val="1C2E4A"/>
                <w:sz w:val="18"/>
                <w:szCs w:val="18"/>
              </w:rPr>
              <w:t xml:space="preserve">Price / allowance</w:t>
            </w:r>
          </w:p>
        </w:tc>
        <w:tc>
          <w:tcPr>
            <w:tcW w:w="1460" w:type="dxa"/>
          </w:tcPr>
          <w:p>
            <w:pPr>
              <w:spacing w:after="0"/>
            </w:pPr>
            <w:r>
              <w:rPr>
                <w:b/>
                <w:color w:val="1C2E4A"/>
                <w:sz w:val="18"/>
                <w:szCs w:val="18"/>
              </w:rPr>
              <w:t xml:space="preserve">Who supplies</w:t>
            </w:r>
          </w:p>
        </w:tc>
      </w:tr>
      <w:tr>
        <w:tc>
          <w:tcPr>
            <w:tcW w:w="1900" w:type="dxa"/>
          </w:tcPr>
          <w:p>
            <w:pPr>
              <w:spacing w:after="0"/>
            </w:pPr>
            <w:r>
              <w:rPr>
                <w:sz w:val="18"/>
                <w:szCs w:val="18"/>
              </w:rPr>
              <w:t xml:space="preserve">Cabinets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Countertops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Flooring</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Tile</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Plumbing fixtures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Light fixtures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Appliances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Interior paint colours</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r>
        <w:tc>
          <w:tcPr>
            <w:tcW w:w="1900" w:type="dxa"/>
          </w:tcPr>
          <w:p>
            <w:pPr>
              <w:spacing w:after="0"/>
            </w:pPr>
            <w:r>
              <w:rPr>
                <w:sz w:val="18"/>
                <w:szCs w:val="18"/>
              </w:rPr>
              <w:t xml:space="preserve">Door &amp; cabinet hardware</w:t>
            </w:r>
          </w:p>
        </w:tc>
        <w:tc>
          <w:tcPr>
            <w:tcW w:w="2600" w:type="dxa"/>
          </w:tcPr>
          <w:p>
            <w:pPr>
              <w:spacing w:after="0"/>
            </w:pPr>
            <w:r>
              <w:rPr>
                <w:sz w:val="18"/>
                <w:szCs w:val="18"/>
              </w:rPr>
              <w:t xml:space="preserve"/>
            </w:r>
          </w:p>
        </w:tc>
        <w:tc>
          <w:tcPr>
            <w:tcW w:w="1800" w:type="dxa"/>
          </w:tcPr>
          <w:p>
            <w:pPr>
              <w:spacing w:after="0"/>
            </w:pPr>
            <w:r>
              <w:rPr>
                <w:sz w:val="18"/>
                <w:szCs w:val="18"/>
              </w:rPr>
              <w:t xml:space="preserve"/>
            </w:r>
          </w:p>
        </w:tc>
        <w:tc>
          <w:tcPr>
            <w:tcW w:w="1600" w:type="dxa"/>
          </w:tcPr>
          <w:p>
            <w:pPr>
              <w:spacing w:after="0"/>
            </w:pPr>
            <w:r>
              <w:rPr>
                <w:sz w:val="18"/>
                <w:szCs w:val="18"/>
              </w:rPr>
              <w:t xml:space="preserve">$</w:t>
            </w:r>
          </w:p>
        </w:tc>
        <w:tc>
          <w:tcPr>
            <w:tcW w:w="1460" w:type="dxa"/>
          </w:tcPr>
          <w:p>
            <w:pPr>
              <w:spacing w:after="0"/>
            </w:pPr>
            <w:r>
              <w:rPr>
                <w:sz w:val="18"/>
                <w:szCs w:val="18"/>
              </w:rPr>
              <w:t xml:space="preserve">Owner</w:t>
            </w:r>
          </w:p>
        </w:tc>
      </w:tr>
    </w:tbl>
    <w:p>
      <w:pPr>
        <w:spacing w:after="120"/>
      </w:pPr>
    </w:p>
    <w:p>
      <w:pPr>
        <w:spacing w:after="120"/>
      </w:pPr>
      <w:r>
        <w:rPr>
          <w:color w:val="5C6670"/>
          <w:sz w:val="16"/>
          <w:szCs w:val="16"/>
        </w:rPr>
        <w:t xml:space="preserve">RehabRocket — get off the ground fast, land on budget.</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sz w:val="20"/>
        <w:szCs w:val="20"/>
      </w:rPr>
    </w:r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